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C974C" w14:textId="01C9F88C" w:rsidR="00992714" w:rsidRPr="00992714" w:rsidRDefault="006D19C3" w:rsidP="00F85FCB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BFEF35" wp14:editId="744691FC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914400" cy="914400"/>
            <wp:effectExtent l="0" t="0" r="0" b="0"/>
            <wp:wrapSquare wrapText="bothSides"/>
            <wp:docPr id="31606751" name="Picture 2" descr="Icon of a scal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06751" name="Picture 2" descr="Icon of a scal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7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714" w:rsidRPr="00992714">
        <w:t xml:space="preserve"> </w:t>
      </w:r>
      <w:r w:rsidR="00992714">
        <w:t>Body Image, Weight Concerns &amp; Drug Use:</w:t>
      </w:r>
      <w:r w:rsidR="00992714">
        <w:t xml:space="preserve"> </w:t>
      </w:r>
      <w:r w:rsidR="002043B2" w:rsidRPr="002043B2">
        <w:t>Recommended Reading/Reference List</w:t>
      </w:r>
    </w:p>
    <w:p w14:paraId="09C8CC5E" w14:textId="2EA685A7" w:rsidR="002043B2" w:rsidRDefault="002043B2" w:rsidP="002043B2">
      <w:r>
        <w:t>American Psychological Association. (2018, April 19). Apa Dictionary of Psychology. American</w:t>
      </w:r>
      <w:r w:rsidR="004528E1">
        <w:t xml:space="preserve"> </w:t>
      </w:r>
      <w:r>
        <w:t>Psychological Association. https://dictionary.apa.org/body-image</w:t>
      </w:r>
    </w:p>
    <w:p w14:paraId="0F3B06A2" w14:textId="52845F6D" w:rsidR="002043B2" w:rsidRDefault="002043B2" w:rsidP="002043B2">
      <w:r>
        <w:t>American Psychiatric Association. (2022). Diagnostic and statistical manual of mental</w:t>
      </w:r>
      <w:r w:rsidR="004528E1">
        <w:t xml:space="preserve"> </w:t>
      </w:r>
      <w:r>
        <w:t>disorders: DSM-5-TR (5th ed., text rev.). American Psychiatric Association Publishing.</w:t>
      </w:r>
      <w:r w:rsidR="004528E1">
        <w:t xml:space="preserve"> </w:t>
      </w:r>
      <w:r>
        <w:t>https://doi.org/10.1176/appi.books.9780890425787</w:t>
      </w:r>
    </w:p>
    <w:p w14:paraId="3060B81A" w14:textId="37BD94EE" w:rsidR="002043B2" w:rsidRDefault="002043B2" w:rsidP="002043B2">
      <w:proofErr w:type="spellStart"/>
      <w:r>
        <w:t>Bahji</w:t>
      </w:r>
      <w:proofErr w:type="spellEnd"/>
      <w:r>
        <w:t>, A., Mazhar, M. N., Hudson, C. C., Nadkarni, P., MacNeil, B. A., &amp; Hawken, E. (2019).</w:t>
      </w:r>
      <w:r w:rsidR="004528E1">
        <w:t xml:space="preserve"> </w:t>
      </w:r>
      <w:r>
        <w:t>Prevalence of substance use disorder comorbidity among individuals with eating disorders: A</w:t>
      </w:r>
      <w:r w:rsidR="004528E1">
        <w:t xml:space="preserve"> </w:t>
      </w:r>
      <w:r>
        <w:t>systematic review and meta-analysis. Psychiatry Research, 273, 58–66.</w:t>
      </w:r>
      <w:r w:rsidR="004528E1">
        <w:t xml:space="preserve"> </w:t>
      </w:r>
      <w:r>
        <w:t>https://doi.org/10.1016/j.psychres.2019.01.007</w:t>
      </w:r>
    </w:p>
    <w:p w14:paraId="1724AAA5" w14:textId="5A9AB024" w:rsidR="002043B2" w:rsidRDefault="002043B2" w:rsidP="002043B2">
      <w:r>
        <w:t>Barlow, D. H. (Ed.) (2001). Clinical handbook of psychological disorders: A step-by-step</w:t>
      </w:r>
      <w:r w:rsidR="004528E1">
        <w:t xml:space="preserve"> </w:t>
      </w:r>
      <w:r>
        <w:t>treatment manual (3rd ed.). The Guilford Press.</w:t>
      </w:r>
    </w:p>
    <w:p w14:paraId="425B7151" w14:textId="39E56A47" w:rsidR="002043B2" w:rsidRDefault="002043B2" w:rsidP="002043B2">
      <w:r>
        <w:t>Brewerton, T. D., &amp; Brady, K. (2014). The role of stress, trauma, and PTSD in the etiology and</w:t>
      </w:r>
      <w:r w:rsidR="004528E1">
        <w:t xml:space="preserve"> </w:t>
      </w:r>
      <w:r>
        <w:t>treatment of eating disorders, addictions, and substance use disorders. In T. D. Brewerton &amp; A.</w:t>
      </w:r>
      <w:r>
        <w:t xml:space="preserve"> </w:t>
      </w:r>
      <w:r>
        <w:t xml:space="preserve">Baker Dennis (Eds.), </w:t>
      </w:r>
      <w:proofErr w:type="gramStart"/>
      <w:r>
        <w:t>Eating disorders</w:t>
      </w:r>
      <w:proofErr w:type="gramEnd"/>
      <w:r>
        <w:t>, addictions and substance use disorders (pp. 379–404).</w:t>
      </w:r>
      <w:r>
        <w:t xml:space="preserve"> </w:t>
      </w:r>
      <w:r>
        <w:t>Springer. https://doi.org/10.1007/978-3-642-45378-6_17</w:t>
      </w:r>
    </w:p>
    <w:p w14:paraId="7B16265B" w14:textId="14AD13A1" w:rsidR="002043B2" w:rsidRDefault="002043B2" w:rsidP="002043B2">
      <w:proofErr w:type="spellStart"/>
      <w:r>
        <w:t>Bucchianeri</w:t>
      </w:r>
      <w:proofErr w:type="spellEnd"/>
      <w:r>
        <w:t xml:space="preserve">, M. M., </w:t>
      </w:r>
      <w:proofErr w:type="spellStart"/>
      <w:r>
        <w:t>Arikian</w:t>
      </w:r>
      <w:proofErr w:type="spellEnd"/>
      <w:r>
        <w:t>, A. J., Hannan, P. J., Eisenberg, M. E., &amp; Neumark-</w:t>
      </w:r>
      <w:proofErr w:type="spellStart"/>
      <w:r>
        <w:t>Sztainer</w:t>
      </w:r>
      <w:proofErr w:type="spellEnd"/>
      <w:r>
        <w:t>, D.</w:t>
      </w:r>
      <w:r>
        <w:t xml:space="preserve"> </w:t>
      </w:r>
      <w:r>
        <w:t>(2013). Body dissatisfaction from adolescence to young adulthood: findings from a 10-year</w:t>
      </w:r>
      <w:r>
        <w:t xml:space="preserve"> </w:t>
      </w:r>
      <w:r>
        <w:t>longitudinal study. Body Image, 10(1), 1–7. https://doi.org/10.1016/j.bodyim.2012.09.001</w:t>
      </w:r>
    </w:p>
    <w:p w14:paraId="5FABA502" w14:textId="4D06A6DC" w:rsidR="002043B2" w:rsidRDefault="002043B2" w:rsidP="002043B2">
      <w:r>
        <w:t xml:space="preserve">Choquette, E. M., Ordaz, D. L., </w:t>
      </w:r>
      <w:proofErr w:type="spellStart"/>
      <w:r>
        <w:t>Melioli</w:t>
      </w:r>
      <w:proofErr w:type="spellEnd"/>
      <w:r>
        <w:t>, T., Delage, B., Chabrol, H., Rodgers, R., &amp; Thompson,</w:t>
      </w:r>
      <w:r>
        <w:t xml:space="preserve"> </w:t>
      </w:r>
      <w:r>
        <w:t>J. K. (2018). Food and Alcohol Disturbance (FAD) in the U.S. and France: Nationality and</w:t>
      </w:r>
      <w:r>
        <w:t xml:space="preserve"> </w:t>
      </w:r>
      <w:r>
        <w:t>gender effects and relations to drive for thinness and alcohol use. Eating Behaviors, 31, 113–119.</w:t>
      </w:r>
      <w:r>
        <w:t xml:space="preserve"> </w:t>
      </w:r>
      <w:r>
        <w:t>https://doi.org/10.1016/j.eatbeh.2018.09.002</w:t>
      </w:r>
    </w:p>
    <w:p w14:paraId="287FA392" w14:textId="177F2FF4" w:rsidR="002043B2" w:rsidRDefault="002043B2" w:rsidP="002043B2">
      <w:proofErr w:type="spellStart"/>
      <w:r>
        <w:t>Claudat</w:t>
      </w:r>
      <w:proofErr w:type="spellEnd"/>
      <w:r>
        <w:t>, K., Brown, T. A., Anderson, L., Bongiorno, G., Berner, L. A., Reilly, E., Luo, T.,</w:t>
      </w:r>
      <w:r>
        <w:t xml:space="preserve"> </w:t>
      </w:r>
      <w:r>
        <w:t>Orloff, N., &amp; Kaye, W. H. (2020). Correlates of co-occurring eating disorders and substance use</w:t>
      </w:r>
      <w:r>
        <w:t xml:space="preserve"> </w:t>
      </w:r>
      <w:r>
        <w:t>disorders: a case for dialectical behavior therapy. Eating Disorders, 28(2), 142–156.</w:t>
      </w:r>
      <w:r>
        <w:t xml:space="preserve"> </w:t>
      </w:r>
      <w:r>
        <w:t>https://doi.org/10.1080/10640266.2020.1740913</w:t>
      </w:r>
    </w:p>
    <w:p w14:paraId="6FD3AD20" w14:textId="7B0D0888" w:rsidR="002043B2" w:rsidRDefault="002043B2" w:rsidP="002043B2">
      <w:r>
        <w:t>U.S. Department of Health and Human Services. (2016, 2018). Addiction and substance misuse</w:t>
      </w:r>
      <w:r>
        <w:t xml:space="preserve"> </w:t>
      </w:r>
      <w:r>
        <w:t>reports and publications. https://www.hhs.gov/surgeongeneral/reports-and-publications/addiction-and-substance-misuse/index.html</w:t>
      </w:r>
    </w:p>
    <w:p w14:paraId="34649DFD" w14:textId="176A1FA8" w:rsidR="002043B2" w:rsidRPr="002043B2" w:rsidRDefault="002043B2" w:rsidP="002043B2">
      <w:r>
        <w:t>Eskander, N., Chakrapani, S., &amp; Ghani, M. R. (2020). The Risk of Substance Use Among</w:t>
      </w:r>
      <w:r>
        <w:t xml:space="preserve"> </w:t>
      </w:r>
      <w:r>
        <w:t xml:space="preserve">Adolescents and Adults </w:t>
      </w:r>
      <w:proofErr w:type="gramStart"/>
      <w:r>
        <w:t>With</w:t>
      </w:r>
      <w:proofErr w:type="gramEnd"/>
      <w:r>
        <w:t xml:space="preserve"> Eating Disorders. </w:t>
      </w:r>
      <w:proofErr w:type="spellStart"/>
      <w:r w:rsidRPr="002043B2">
        <w:rPr>
          <w:lang w:val="fr-FR"/>
        </w:rPr>
        <w:t>Cureus</w:t>
      </w:r>
      <w:proofErr w:type="spellEnd"/>
      <w:r w:rsidRPr="002043B2">
        <w:rPr>
          <w:lang w:val="fr-FR"/>
        </w:rPr>
        <w:t>, 12(9), e10309.</w:t>
      </w:r>
      <w:r>
        <w:rPr>
          <w:lang w:val="fr-FR"/>
        </w:rPr>
        <w:t xml:space="preserve"> </w:t>
      </w:r>
      <w:r w:rsidRPr="002043B2">
        <w:rPr>
          <w:lang w:val="fr-FR"/>
        </w:rPr>
        <w:t>https://doi.org/10.7759/cureus.10309</w:t>
      </w:r>
    </w:p>
    <w:p w14:paraId="79212937" w14:textId="305D3060" w:rsidR="002043B2" w:rsidRDefault="002043B2" w:rsidP="002043B2">
      <w:r>
        <w:t>Eck, K. M., Quick, V., &amp; Byrd-Bredbenner, C. (2022). Body Dissatisfaction, Eating Styles,</w:t>
      </w:r>
      <w:r>
        <w:t xml:space="preserve"> </w:t>
      </w:r>
      <w:r>
        <w:t>Weight-Related Behaviors, and Health among Young Women in the United States. Nutrients,</w:t>
      </w:r>
      <w:r>
        <w:t xml:space="preserve"> </w:t>
      </w:r>
      <w:r>
        <w:t>14(18), 3876. https://doi.org/10.3390/nu14183876</w:t>
      </w:r>
    </w:p>
    <w:p w14:paraId="46CF0270" w14:textId="11B10CF7" w:rsidR="002043B2" w:rsidRDefault="002043B2" w:rsidP="002043B2">
      <w:r>
        <w:lastRenderedPageBreak/>
        <w:t xml:space="preserve">Fairburn, C. G., Cooper, Z., &amp; Shafran, R. (2003). Cognitive </w:t>
      </w:r>
      <w:proofErr w:type="spellStart"/>
      <w:r>
        <w:t>behaviour</w:t>
      </w:r>
      <w:proofErr w:type="spellEnd"/>
      <w:r>
        <w:t xml:space="preserve"> therapy for eating</w:t>
      </w:r>
      <w:r>
        <w:t xml:space="preserve"> </w:t>
      </w:r>
      <w:r>
        <w:t xml:space="preserve">disorders: a "transdiagnostic" theory and treatment. </w:t>
      </w:r>
      <w:proofErr w:type="spellStart"/>
      <w:r>
        <w:t>Behaviour</w:t>
      </w:r>
      <w:proofErr w:type="spellEnd"/>
      <w:r>
        <w:t xml:space="preserve"> Research and Therapy, 41(5),</w:t>
      </w:r>
      <w:r>
        <w:t xml:space="preserve"> </w:t>
      </w:r>
      <w:r>
        <w:t>509–528. https://doi.org/10.1016/s0005-7967(02)00088-8</w:t>
      </w:r>
    </w:p>
    <w:p w14:paraId="6F5D66B2" w14:textId="3461BA85" w:rsidR="002043B2" w:rsidRDefault="002043B2" w:rsidP="002043B2">
      <w:r>
        <w:t xml:space="preserve">Ganson, K. T., </w:t>
      </w:r>
      <w:proofErr w:type="spellStart"/>
      <w:r>
        <w:t>Mitchison</w:t>
      </w:r>
      <w:proofErr w:type="spellEnd"/>
      <w:r>
        <w:t>, D., Rodgers, R. F., Cunningham, M. L., Murray, S. B., &amp; Nagata, J.</w:t>
      </w:r>
      <w:r>
        <w:t xml:space="preserve"> </w:t>
      </w:r>
      <w:r>
        <w:t>M. (2022). Compulsive exercise among college students: 5-year time trends in prevalence and</w:t>
      </w:r>
      <w:r>
        <w:t xml:space="preserve"> </w:t>
      </w:r>
      <w:r>
        <w:t xml:space="preserve">demographic, substance use, and mental health </w:t>
      </w:r>
      <w:proofErr w:type="gramStart"/>
      <w:r>
        <w:t>correlates</w:t>
      </w:r>
      <w:proofErr w:type="gramEnd"/>
      <w:r>
        <w:t>. Eating and Weight Disorders, 27(2),</w:t>
      </w:r>
      <w:r>
        <w:t xml:space="preserve"> </w:t>
      </w:r>
      <w:r>
        <w:t>717–728. https://doi.org/10.1007/s40519-021-01210-8</w:t>
      </w:r>
    </w:p>
    <w:p w14:paraId="2E4D24C6" w14:textId="03AF45DA" w:rsidR="002043B2" w:rsidRDefault="002043B2" w:rsidP="002043B2">
      <w:r>
        <w:t>Gregorowski, C., Seedat, S., &amp; Jordaan, G. P. (2013). A clinical approach to the assessment and</w:t>
      </w:r>
      <w:r>
        <w:t xml:space="preserve"> </w:t>
      </w:r>
      <w:r>
        <w:t>management of co-morbid eating disorders and substance use disorders. BMC Psychiatry, 13,</w:t>
      </w:r>
      <w:r>
        <w:t xml:space="preserve"> </w:t>
      </w:r>
      <w:r>
        <w:t>289. https://doi.org/10.1186/1471-244X-13-289</w:t>
      </w:r>
    </w:p>
    <w:p w14:paraId="4CC264A0" w14:textId="2FE3C45A" w:rsidR="002043B2" w:rsidRDefault="002043B2" w:rsidP="002043B2">
      <w:r>
        <w:t>Haynos, A. F., Wang, S. B., &amp; Fruzzetti, A. E. (2018). Restrictive eating is associated with</w:t>
      </w:r>
      <w:r>
        <w:t xml:space="preserve"> </w:t>
      </w:r>
      <w:r>
        <w:t>emotion regulation difficulties in a non-clinical sample. Eating Disorders, 26(1), 5–12.</w:t>
      </w:r>
      <w:r>
        <w:t xml:space="preserve"> </w:t>
      </w:r>
      <w:r>
        <w:t>https://doi.org/10.1080/10640266.2018.1418264</w:t>
      </w:r>
    </w:p>
    <w:p w14:paraId="52B807A5" w14:textId="6B155039" w:rsidR="002043B2" w:rsidRDefault="002043B2" w:rsidP="002043B2">
      <w:proofErr w:type="spellStart"/>
      <w:r w:rsidRPr="002043B2">
        <w:rPr>
          <w:lang w:val="fr-FR"/>
        </w:rPr>
        <w:t>Hosseini</w:t>
      </w:r>
      <w:proofErr w:type="spellEnd"/>
      <w:r w:rsidRPr="002043B2">
        <w:rPr>
          <w:lang w:val="fr-FR"/>
        </w:rPr>
        <w:t xml:space="preserve">, S. A., &amp; </w:t>
      </w:r>
      <w:proofErr w:type="spellStart"/>
      <w:r w:rsidRPr="002043B2">
        <w:rPr>
          <w:lang w:val="fr-FR"/>
        </w:rPr>
        <w:t>Padhy</w:t>
      </w:r>
      <w:proofErr w:type="spellEnd"/>
      <w:r w:rsidRPr="002043B2">
        <w:rPr>
          <w:lang w:val="fr-FR"/>
        </w:rPr>
        <w:t xml:space="preserve">, R. K. (2023). </w:t>
      </w:r>
      <w:r>
        <w:t xml:space="preserve">Body Image Distortion (Archived). In </w:t>
      </w:r>
      <w:proofErr w:type="spellStart"/>
      <w:r>
        <w:t>StatPearls</w:t>
      </w:r>
      <w:proofErr w:type="spellEnd"/>
      <w:r>
        <w:t>.</w:t>
      </w:r>
      <w:r>
        <w:t xml:space="preserve"> </w:t>
      </w:r>
      <w:proofErr w:type="spellStart"/>
      <w:r>
        <w:t>StatPearls</w:t>
      </w:r>
      <w:proofErr w:type="spellEnd"/>
      <w:r>
        <w:t xml:space="preserve"> Publishing. https://pubmed.ncbi.nlm.nih.gov/31536191/</w:t>
      </w:r>
    </w:p>
    <w:p w14:paraId="134533B1" w14:textId="61C939E8" w:rsidR="002043B2" w:rsidRDefault="002043B2" w:rsidP="002043B2">
      <w:r>
        <w:t xml:space="preserve">Hudson JI, Hiripi E, Pope HG Jr, Kessler RC. The prevalence and </w:t>
      </w:r>
      <w:proofErr w:type="gramStart"/>
      <w:r>
        <w:t>correlates</w:t>
      </w:r>
      <w:proofErr w:type="gramEnd"/>
      <w:r>
        <w:t xml:space="preserve"> of eating disorders</w:t>
      </w:r>
      <w:r>
        <w:t xml:space="preserve"> </w:t>
      </w:r>
      <w:r>
        <w:t>in the National Comorbidity Survey Replication. Biological Psychiatry. 2007;61(3):348-358.</w:t>
      </w:r>
      <w:r>
        <w:t xml:space="preserve"> </w:t>
      </w:r>
      <w:r>
        <w:t>doi:10.1016/j.biopsych.2006.03.040</w:t>
      </w:r>
    </w:p>
    <w:p w14:paraId="1F11D9FA" w14:textId="527F2CCA" w:rsidR="002043B2" w:rsidRDefault="002043B2" w:rsidP="002043B2">
      <w:r>
        <w:t>Jacobs, W., DeLeon, A., Bristow, A., Quinn, P., &amp; Lederer, A. (2025). Substance use and</w:t>
      </w:r>
      <w:r>
        <w:t xml:space="preserve"> </w:t>
      </w:r>
      <w:r>
        <w:t xml:space="preserve">disordered eating risk among college students with obsessive-compulsive conditions. </w:t>
      </w:r>
      <w:proofErr w:type="spellStart"/>
      <w:r>
        <w:t>PloS</w:t>
      </w:r>
      <w:proofErr w:type="spellEnd"/>
      <w:r>
        <w:t xml:space="preserve"> one,</w:t>
      </w:r>
      <w:r>
        <w:t xml:space="preserve"> </w:t>
      </w:r>
      <w:r>
        <w:t>20(1), e0316349. https://doi.org/10.1371/journal.pone.0316349</w:t>
      </w:r>
    </w:p>
    <w:p w14:paraId="33A2ABCD" w14:textId="0816F09F" w:rsidR="002043B2" w:rsidRPr="002043B2" w:rsidRDefault="002043B2" w:rsidP="002043B2">
      <w:r>
        <w:t xml:space="preserve">Kowalewska, E., </w:t>
      </w:r>
      <w:proofErr w:type="spellStart"/>
      <w:r>
        <w:t>Bzowska</w:t>
      </w:r>
      <w:proofErr w:type="spellEnd"/>
      <w:r>
        <w:t>, M., Engel, J., &amp; Lew-Starowicz, M. (2024). Comorbidity of binge</w:t>
      </w:r>
      <w:r>
        <w:t xml:space="preserve"> </w:t>
      </w:r>
      <w:r>
        <w:t xml:space="preserve">eating disorder and other psychiatric disorders: a systematic review. </w:t>
      </w:r>
      <w:r w:rsidRPr="002043B2">
        <w:t>BMC Psychiatry, 24(1), 556.</w:t>
      </w:r>
      <w:r w:rsidRPr="002043B2">
        <w:t xml:space="preserve"> </w:t>
      </w:r>
      <w:r w:rsidRPr="002043B2">
        <w:t>https://doi.org/10.1186/s12888-024-05943-5</w:t>
      </w:r>
    </w:p>
    <w:p w14:paraId="6D18C0E4" w14:textId="1421DAA9" w:rsidR="002043B2" w:rsidRDefault="002043B2" w:rsidP="002043B2">
      <w:r w:rsidRPr="002043B2">
        <w:rPr>
          <w:lang w:val="fr-FR"/>
        </w:rPr>
        <w:t xml:space="preserve">Lindsay, A. R., Warren, C. S., Velasquez, S. C., &amp; Lu, M. (2012). </w:t>
      </w:r>
      <w:r>
        <w:t>A gender-specific approach to</w:t>
      </w:r>
      <w:r>
        <w:t xml:space="preserve"> </w:t>
      </w:r>
      <w:r>
        <w:t>improving substance abuse treatment for women: The Healthy Steps to Freedom program.</w:t>
      </w:r>
      <w:r>
        <w:t xml:space="preserve"> </w:t>
      </w:r>
      <w:r>
        <w:t>Journal of Substance Abuse Treatment, 43(1), 61–69. https://doi.org/10.1016/j.jsat.2011.10.027</w:t>
      </w:r>
    </w:p>
    <w:p w14:paraId="5C724F7E" w14:textId="6BB70556" w:rsidR="002043B2" w:rsidRDefault="002043B2" w:rsidP="002043B2">
      <w:r>
        <w:t>Luck, A. J., Morgan, J. F., Reid, F., O'Brien, A., Brunton, J., Price, C., Perry, L., &amp; Lacey, J. H.</w:t>
      </w:r>
      <w:r>
        <w:t xml:space="preserve"> </w:t>
      </w:r>
      <w:r>
        <w:t>(2002). The SCOFF questionnaire and clinical interview for eating disorders in general practice:</w:t>
      </w:r>
      <w:r>
        <w:t xml:space="preserve"> </w:t>
      </w:r>
      <w:r>
        <w:t>comparative study. BMJ (Clinical research ed.), 325(7367), 755–756.</w:t>
      </w:r>
      <w:r>
        <w:t xml:space="preserve"> </w:t>
      </w:r>
      <w:r>
        <w:t>https://doi.org/10.1136/bmj.325.7367.755</w:t>
      </w:r>
    </w:p>
    <w:p w14:paraId="52D5C15E" w14:textId="13338B50" w:rsidR="002043B2" w:rsidRDefault="002043B2" w:rsidP="002043B2">
      <w:r>
        <w:t>MacNeil, B. A., Gorman, T., &amp; Maier, J. (2025). Examining the associations between laxative</w:t>
      </w:r>
      <w:r>
        <w:t xml:space="preserve"> </w:t>
      </w:r>
      <w:r>
        <w:t>use, substance use, depressive symptoms, and obsessions and compulsions in adults with an</w:t>
      </w:r>
      <w:r>
        <w:t xml:space="preserve"> </w:t>
      </w:r>
      <w:r>
        <w:t>eating disorder. Journal of Psychiatric Research, 182, 142–148.</w:t>
      </w:r>
      <w:r>
        <w:t xml:space="preserve"> </w:t>
      </w:r>
      <w:r>
        <w:t>https://doi.org/10.1016/j.jpsychires.2024.12.043</w:t>
      </w:r>
    </w:p>
    <w:p w14:paraId="7193D63C" w14:textId="031E7FA0" w:rsidR="002043B2" w:rsidRDefault="002043B2" w:rsidP="002043B2">
      <w:r>
        <w:t>Mann, A. P., Accurso, E. C., Stiles-Shields, C., Capra, L., Labuschagne, Z., Karnik, N. S., &amp; Le</w:t>
      </w:r>
      <w:r>
        <w:t xml:space="preserve"> </w:t>
      </w:r>
      <w:r>
        <w:t>Grange, D. (2014). Factors associated with substance use in adolescents with eating disorders.</w:t>
      </w:r>
      <w:r>
        <w:t xml:space="preserve"> </w:t>
      </w:r>
      <w:r>
        <w:t xml:space="preserve">The Journal of Adolescent </w:t>
      </w:r>
      <w:r>
        <w:lastRenderedPageBreak/>
        <w:t>Health: official publication of the Society for Adolescent Medicine,</w:t>
      </w:r>
      <w:r>
        <w:t xml:space="preserve"> </w:t>
      </w:r>
      <w:r>
        <w:t>55(2), 182–187. https://doi.org/10.1016/j.jadohealth.2014.01.015</w:t>
      </w:r>
    </w:p>
    <w:p w14:paraId="4D351244" w14:textId="472B4763" w:rsidR="002043B2" w:rsidRPr="002043B2" w:rsidRDefault="002043B2" w:rsidP="002043B2">
      <w:r>
        <w:t>McCabe, M., Alcaraz-Ibanez, M., Markey, C., Sicilia, A., Rodgers, R. F., Aimé, A., … Fuller-</w:t>
      </w:r>
      <w:r>
        <w:t xml:space="preserve"> </w:t>
      </w:r>
      <w:r>
        <w:t>Tyszkiewicz, M. (2023). A longitudinal evaluation of a biopsychosocial model predicting BMI</w:t>
      </w:r>
      <w:r>
        <w:t xml:space="preserve"> </w:t>
      </w:r>
      <w:r>
        <w:t xml:space="preserve">and disordered eating among young adults. </w:t>
      </w:r>
      <w:proofErr w:type="spellStart"/>
      <w:r w:rsidRPr="002043B2">
        <w:rPr>
          <w:lang w:val="fr-FR"/>
        </w:rPr>
        <w:t>Australian</w:t>
      </w:r>
      <w:proofErr w:type="spellEnd"/>
      <w:r w:rsidRPr="002043B2">
        <w:rPr>
          <w:lang w:val="fr-FR"/>
        </w:rPr>
        <w:t xml:space="preserve"> </w:t>
      </w:r>
      <w:proofErr w:type="spellStart"/>
      <w:r w:rsidRPr="002043B2">
        <w:rPr>
          <w:lang w:val="fr-FR"/>
        </w:rPr>
        <w:t>Psychologist</w:t>
      </w:r>
      <w:proofErr w:type="spellEnd"/>
      <w:r w:rsidRPr="002043B2">
        <w:rPr>
          <w:lang w:val="fr-FR"/>
        </w:rPr>
        <w:t>, 58(2), 57–79.</w:t>
      </w:r>
      <w:r>
        <w:rPr>
          <w:lang w:val="fr-FR"/>
        </w:rPr>
        <w:t xml:space="preserve"> </w:t>
      </w:r>
      <w:r w:rsidRPr="002043B2">
        <w:rPr>
          <w:lang w:val="fr-FR"/>
        </w:rPr>
        <w:t>https://doi.org/10.1080/00050067.2023.2181686</w:t>
      </w:r>
    </w:p>
    <w:p w14:paraId="649C707B" w14:textId="3A07DBAA" w:rsidR="002043B2" w:rsidRDefault="002043B2" w:rsidP="002043B2">
      <w:r>
        <w:t>Mellentin, A. I., Mejldal, A., Guala, M. M., Støving, R. K., Eriksen, L. S., Stenager, E., &amp; Skøt,</w:t>
      </w:r>
      <w:r>
        <w:t xml:space="preserve"> </w:t>
      </w:r>
      <w:r>
        <w:t>L. (2021). The Impact of Alcohol and Other Substance Use Disorders on Mortality in Patients</w:t>
      </w:r>
      <w:r>
        <w:t xml:space="preserve"> </w:t>
      </w:r>
      <w:proofErr w:type="gramStart"/>
      <w:r>
        <w:t>With</w:t>
      </w:r>
      <w:proofErr w:type="gramEnd"/>
      <w:r>
        <w:t xml:space="preserve"> Eating Disorders: A Nationwide Register-Based Retrospective Cohort Study. The</w:t>
      </w:r>
      <w:r>
        <w:t xml:space="preserve"> </w:t>
      </w:r>
      <w:r>
        <w:t>American Journal of Psychiatry, appiajp21030274. Advance online publication.</w:t>
      </w:r>
      <w:r>
        <w:t xml:space="preserve"> </w:t>
      </w:r>
      <w:r>
        <w:t>https://doi.org/10.1176/appi.ajp.21030274</w:t>
      </w:r>
    </w:p>
    <w:p w14:paraId="225908B1" w14:textId="1F5896E5" w:rsidR="002043B2" w:rsidRDefault="002043B2" w:rsidP="002043B2">
      <w:r>
        <w:t xml:space="preserve">Miranda-Olivos, R., </w:t>
      </w:r>
      <w:proofErr w:type="spellStart"/>
      <w:r>
        <w:t>Agüera</w:t>
      </w:r>
      <w:proofErr w:type="spellEnd"/>
      <w:r>
        <w:t>, Z., Granero, R., Jiménez-Murcia, S., Puig-Llobet, M., Lluch-Canut,</w:t>
      </w:r>
      <w:r>
        <w:t xml:space="preserve"> </w:t>
      </w:r>
      <w:r w:rsidRPr="002043B2">
        <w:t xml:space="preserve">M. T., Gearhardt, A. N., &amp; Fernández-Aranda, F. (2023). </w:t>
      </w:r>
      <w:r>
        <w:t>The Role of Food Addiction and</w:t>
      </w:r>
      <w:r>
        <w:t xml:space="preserve"> </w:t>
      </w:r>
      <w:r>
        <w:t>Lifetime Substance Use on Eating Disorder Treatment Outcomes. Nutrients, 15(13), 2919.</w:t>
      </w:r>
      <w:r>
        <w:t xml:space="preserve"> </w:t>
      </w:r>
      <w:r>
        <w:t>https://doi.org/10.3390/nu15132919</w:t>
      </w:r>
    </w:p>
    <w:p w14:paraId="012DBF68" w14:textId="5859617B" w:rsidR="002043B2" w:rsidRDefault="002043B2" w:rsidP="002043B2">
      <w:r>
        <w:t xml:space="preserve">Narváez-Camargo, M., Lozano-Rojas, O., </w:t>
      </w:r>
      <w:proofErr w:type="spellStart"/>
      <w:r>
        <w:t>Mancheño</w:t>
      </w:r>
      <w:proofErr w:type="spellEnd"/>
      <w:r>
        <w:t>-Velasco, C., &amp; Verdejo-García, A. (2025).</w:t>
      </w:r>
      <w:r>
        <w:t xml:space="preserve"> </w:t>
      </w:r>
      <w:r>
        <w:t>Substance Use Disorder Treatment Outcomes: Methodological Overview of Metrics and Criteria.</w:t>
      </w:r>
      <w:r>
        <w:t xml:space="preserve"> </w:t>
      </w:r>
      <w:r>
        <w:t>International Journal of Methods in Psychiatric Research, 34(2), e70027.</w:t>
      </w:r>
      <w:r>
        <w:t xml:space="preserve"> </w:t>
      </w:r>
      <w:r>
        <w:t>https://doi.org/10.1002/mpr.70027</w:t>
      </w:r>
    </w:p>
    <w:p w14:paraId="41774C66" w14:textId="108C0B91" w:rsidR="002043B2" w:rsidRDefault="002043B2" w:rsidP="002043B2">
      <w:r>
        <w:t xml:space="preserve">National Academies of Sciences, Engineering, and Medicine. (2019). </w:t>
      </w:r>
      <w:proofErr w:type="gramStart"/>
      <w:r>
        <w:t>The promise</w:t>
      </w:r>
      <w:proofErr w:type="gramEnd"/>
      <w:r>
        <w:t xml:space="preserve"> of</w:t>
      </w:r>
      <w:r>
        <w:t xml:space="preserve"> </w:t>
      </w:r>
      <w:r>
        <w:t>adolescence: Realizing opportunity for all youth. The National Academies Press.</w:t>
      </w:r>
      <w:r>
        <w:t xml:space="preserve"> </w:t>
      </w:r>
      <w:r>
        <w:t>https://doi.org/10.17226/25388</w:t>
      </w:r>
    </w:p>
    <w:p w14:paraId="3DC40D14" w14:textId="56ECE72A" w:rsidR="002043B2" w:rsidRDefault="002043B2" w:rsidP="002043B2">
      <w:r>
        <w:t xml:space="preserve">National Institute on Drug Abuse. (2020). Common comorbidities with substance use </w:t>
      </w:r>
      <w:r>
        <w:t>disorders: Research</w:t>
      </w:r>
      <w:r>
        <w:t xml:space="preserve"> report. National Institutes of Health. </w:t>
      </w:r>
      <w:r w:rsidRPr="002043B2">
        <w:t>https://www.ncbi.nlm.nih.gov/books/NBK571451/</w:t>
      </w:r>
      <w:r w:rsidRPr="002043B2">
        <w:t xml:space="preserve"> </w:t>
      </w:r>
      <w:r w:rsidRPr="002043B2">
        <w:t xml:space="preserve">Nolan, L. J. (2013). </w:t>
      </w:r>
      <w:r>
        <w:t>Shared urges? The links between drugs of abuse, eating, and body weight.</w:t>
      </w:r>
      <w:r>
        <w:t xml:space="preserve"> </w:t>
      </w:r>
      <w:r>
        <w:t>Current Obesity Reports, 2(2), 150–156. https://doi.org/10.1007/s13679-013-0048-9</w:t>
      </w:r>
    </w:p>
    <w:p w14:paraId="0E22480B" w14:textId="3D9C0B3E" w:rsidR="002043B2" w:rsidRDefault="002043B2" w:rsidP="002043B2">
      <w:r>
        <w:t xml:space="preserve">Root, T. L., </w:t>
      </w:r>
      <w:proofErr w:type="spellStart"/>
      <w:r>
        <w:t>Pisetsky</w:t>
      </w:r>
      <w:proofErr w:type="spellEnd"/>
      <w:r>
        <w:t>, E. M., Thornton, L., Lichtenstein, P., Pedersen, N. L., &amp; Bulik, C. M.</w:t>
      </w:r>
      <w:r>
        <w:t xml:space="preserve"> </w:t>
      </w:r>
      <w:r>
        <w:t>(2010). Patterns of co-morbidity of eating disorders and substance use in Swedish females.</w:t>
      </w:r>
      <w:r>
        <w:t xml:space="preserve"> </w:t>
      </w:r>
      <w:r>
        <w:t>Psychological Medicine, 40(1), 105–115. https://doi.org/10.1017/S0033291709005662</w:t>
      </w:r>
    </w:p>
    <w:p w14:paraId="5CC59DAC" w14:textId="0079AB96" w:rsidR="002043B2" w:rsidRDefault="002043B2" w:rsidP="002043B2">
      <w:r>
        <w:t>Rosewall, J. K., Gleaves, D. H., &amp; Latner, J. D. (2018). An examination of risk factors that</w:t>
      </w:r>
      <w:r>
        <w:t xml:space="preserve"> </w:t>
      </w:r>
      <w:r>
        <w:t>moderate the body dissatisfaction-eating pathology relationship among New Zealand adolescent</w:t>
      </w:r>
      <w:r>
        <w:t xml:space="preserve"> </w:t>
      </w:r>
      <w:r>
        <w:t>girls. Journal of Eating Disorders, 6, 38. https://doi.org/10.1186/s40337-018-0225-z</w:t>
      </w:r>
    </w:p>
    <w:p w14:paraId="2344D3FC" w14:textId="31140FFF" w:rsidR="002043B2" w:rsidRDefault="002043B2" w:rsidP="002043B2">
      <w:r>
        <w:t xml:space="preserve">Różycka, J., Nowacki, A., </w:t>
      </w:r>
      <w:proofErr w:type="spellStart"/>
      <w:r>
        <w:t>Łukowska</w:t>
      </w:r>
      <w:proofErr w:type="spellEnd"/>
      <w:r>
        <w:t xml:space="preserve">, M., </w:t>
      </w:r>
      <w:proofErr w:type="spellStart"/>
      <w:r>
        <w:t>Sokołowska</w:t>
      </w:r>
      <w:proofErr w:type="spellEnd"/>
      <w:r>
        <w:t xml:space="preserve">, M., Zielińska, J., </w:t>
      </w:r>
      <w:proofErr w:type="spellStart"/>
      <w:r>
        <w:t>Duszkiewicz</w:t>
      </w:r>
      <w:proofErr w:type="spellEnd"/>
      <w:r>
        <w:t>, R., &amp;</w:t>
      </w:r>
      <w:r>
        <w:t xml:space="preserve"> </w:t>
      </w:r>
      <w:r>
        <w:t>Stojek, M. M. (2025). Psychological differences in food addiction and binge eating in a general</w:t>
      </w:r>
      <w:r>
        <w:t xml:space="preserve"> </w:t>
      </w:r>
      <w:r>
        <w:t>Polish population. Scientific Reports, 15(1), 3919. https://doi.org/10.1038/s41598-025-87057-w</w:t>
      </w:r>
    </w:p>
    <w:p w14:paraId="77190FB5" w14:textId="5DC335CD" w:rsidR="002043B2" w:rsidRDefault="002043B2" w:rsidP="002043B2">
      <w:r>
        <w:t xml:space="preserve">Runfola, C. D., Von Holle, A., Trace, S. E., Brownley, K. A., </w:t>
      </w:r>
      <w:proofErr w:type="spellStart"/>
      <w:r>
        <w:t>Hofmeier</w:t>
      </w:r>
      <w:proofErr w:type="spellEnd"/>
      <w:r>
        <w:t>, S. M., Gagne, D. A., &amp;</w:t>
      </w:r>
      <w:r>
        <w:t xml:space="preserve"> </w:t>
      </w:r>
      <w:r>
        <w:t>Bulik, C. M. (2013). Body dissatisfaction in women across the lifespan: results of the UNC-</w:t>
      </w:r>
      <w:r>
        <w:t xml:space="preserve"> </w:t>
      </w:r>
      <w:r>
        <w:t>SELF and Gender and Body Image (GABI) studies. European Eating Disorders Review: the</w:t>
      </w:r>
      <w:r>
        <w:t xml:space="preserve"> </w:t>
      </w:r>
      <w:r>
        <w:t>journal of the Eating Disorders Association, 21(1), 52–59. https://doi.org/10.1002/erv.2201</w:t>
      </w:r>
    </w:p>
    <w:p w14:paraId="177C92E2" w14:textId="77777777" w:rsidR="002043B2" w:rsidRDefault="002043B2" w:rsidP="002043B2">
      <w:r>
        <w:t>Skinner HA (1982). The Drug Abuse Screening Test. Addictive Behavior, 7(4):363-371.</w:t>
      </w:r>
    </w:p>
    <w:p w14:paraId="139B05F8" w14:textId="3DF9277F" w:rsidR="002043B2" w:rsidRDefault="002043B2" w:rsidP="002043B2">
      <w:r>
        <w:lastRenderedPageBreak/>
        <w:t>Strid, C., Lindfors, P., Andersson, C., &amp; others. (2025). Eating disorders and psychiatric</w:t>
      </w:r>
      <w:r>
        <w:t xml:space="preserve"> </w:t>
      </w:r>
      <w:r>
        <w:t>comorbidity among first-year university students in Sweden: Prevalence and risk factors. Journal</w:t>
      </w:r>
      <w:r>
        <w:t xml:space="preserve"> </w:t>
      </w:r>
      <w:r>
        <w:t>of Eating Disorders, 13, 52. https://doi.org/10.1186/s40337-025-01230-0</w:t>
      </w:r>
    </w:p>
    <w:p w14:paraId="1B1BAA0B" w14:textId="45B4965E" w:rsidR="002043B2" w:rsidRDefault="002043B2" w:rsidP="002043B2">
      <w:r w:rsidRPr="002043B2">
        <w:rPr>
          <w:lang w:val="fr-FR"/>
        </w:rPr>
        <w:t xml:space="preserve">Saunders, J. B., </w:t>
      </w:r>
      <w:proofErr w:type="spellStart"/>
      <w:r w:rsidRPr="002043B2">
        <w:rPr>
          <w:lang w:val="fr-FR"/>
        </w:rPr>
        <w:t>Aasland</w:t>
      </w:r>
      <w:proofErr w:type="spellEnd"/>
      <w:r w:rsidRPr="002043B2">
        <w:rPr>
          <w:lang w:val="fr-FR"/>
        </w:rPr>
        <w:t xml:space="preserve">, O. G., </w:t>
      </w:r>
      <w:proofErr w:type="spellStart"/>
      <w:r w:rsidRPr="002043B2">
        <w:rPr>
          <w:lang w:val="fr-FR"/>
        </w:rPr>
        <w:t>Babor</w:t>
      </w:r>
      <w:proofErr w:type="spellEnd"/>
      <w:r w:rsidRPr="002043B2">
        <w:rPr>
          <w:lang w:val="fr-FR"/>
        </w:rPr>
        <w:t>, T. F., de la Fuente, J. R., &amp; Grant, M. (1993).</w:t>
      </w:r>
      <w:r w:rsidRPr="002043B2">
        <w:rPr>
          <w:lang w:val="fr-FR"/>
        </w:rPr>
        <w:t xml:space="preserve"> </w:t>
      </w:r>
      <w:r>
        <w:t>Development of the Alcohol Use Disorders Identification Test (AUDIT): WHO Collaborative</w:t>
      </w:r>
      <w:r>
        <w:t xml:space="preserve"> </w:t>
      </w:r>
      <w:r>
        <w:t>Project on Early Detection of Persons with Harmful Alcohol Consumption--II. Addiction, 88(6),</w:t>
      </w:r>
      <w:r>
        <w:t xml:space="preserve"> </w:t>
      </w:r>
      <w:r>
        <w:t>791–804. https://doi.org/10.1111/j.1360-0443.1993.tb02093.x</w:t>
      </w:r>
    </w:p>
    <w:p w14:paraId="0AD02000" w14:textId="28900389" w:rsidR="002043B2" w:rsidRPr="002043B2" w:rsidRDefault="002043B2" w:rsidP="002043B2">
      <w:proofErr w:type="spellStart"/>
      <w:r>
        <w:t>Solmi</w:t>
      </w:r>
      <w:proofErr w:type="spellEnd"/>
      <w:r>
        <w:t>, M., Monaco, F., Højlund, M., Monteleone, A. M., Trott, M., Firth, J., Carfagno, M.,</w:t>
      </w:r>
      <w:r>
        <w:t xml:space="preserve"> </w:t>
      </w:r>
      <w:r w:rsidRPr="002043B2">
        <w:t xml:space="preserve">Eaton, M., De Toffol, M., </w:t>
      </w:r>
      <w:proofErr w:type="spellStart"/>
      <w:r w:rsidRPr="002043B2">
        <w:t>Vergine</w:t>
      </w:r>
      <w:proofErr w:type="spellEnd"/>
      <w:r w:rsidRPr="002043B2">
        <w:t xml:space="preserve">, M., Meneguzzo, P., </w:t>
      </w:r>
      <w:proofErr w:type="spellStart"/>
      <w:r w:rsidRPr="002043B2">
        <w:t>Collantoni</w:t>
      </w:r>
      <w:proofErr w:type="spellEnd"/>
      <w:r w:rsidRPr="002043B2">
        <w:t>, E., Gallicchio, D., Stubbs,</w:t>
      </w:r>
      <w:r w:rsidRPr="002043B2">
        <w:t xml:space="preserve"> </w:t>
      </w:r>
      <w:r>
        <w:t xml:space="preserve">B., Girardi, A., </w:t>
      </w:r>
      <w:proofErr w:type="spellStart"/>
      <w:r>
        <w:t>Busetto</w:t>
      </w:r>
      <w:proofErr w:type="spellEnd"/>
      <w:r>
        <w:t>, P., Favaro, A., Carvalho, A. F., Steinhausen, H.-C., &amp; Correll, C. U.</w:t>
      </w:r>
      <w:r>
        <w:t xml:space="preserve"> </w:t>
      </w:r>
      <w:r>
        <w:t>(2024). Outcomes in people with eating disorders: A transdiagnostic and disorder-specific</w:t>
      </w:r>
      <w:r>
        <w:t xml:space="preserve"> </w:t>
      </w:r>
      <w:r>
        <w:t>systematic review, meta-analysis and multivariable meta-regression analysis. World Psychiatry,</w:t>
      </w:r>
      <w:r>
        <w:t xml:space="preserve"> </w:t>
      </w:r>
      <w:r>
        <w:t>23(1), 124–138. https://doi.org/10.1002/wps.21182</w:t>
      </w:r>
    </w:p>
    <w:p w14:paraId="41566D30" w14:textId="5E2D6DF1" w:rsidR="002043B2" w:rsidRDefault="002043B2" w:rsidP="002043B2">
      <w:r>
        <w:t>Sussman, S., Galimov, A., Ayala, N., &amp; Sinclair, D. L. (2023). Web-based Evidence on the</w:t>
      </w:r>
      <w:r>
        <w:t xml:space="preserve"> </w:t>
      </w:r>
      <w:r>
        <w:t>Treatment of Behavioral Addictions in United States Model Treatment Centers. Evaluation &amp;</w:t>
      </w:r>
      <w:r>
        <w:t xml:space="preserve"> </w:t>
      </w:r>
      <w:r>
        <w:t>The Health Professions, 46(1), 23–29. https://doi.org/10.1177/01632787221130543</w:t>
      </w:r>
    </w:p>
    <w:p w14:paraId="6FB5B939" w14:textId="636E15C2" w:rsidR="002043B2" w:rsidRDefault="002043B2" w:rsidP="002043B2">
      <w:r>
        <w:t>Thompson, J. K., Coovert, M. D., &amp; Stormer, S. M. (1999). Body image, social comparison, and</w:t>
      </w:r>
      <w:r>
        <w:t xml:space="preserve"> </w:t>
      </w:r>
      <w:r>
        <w:t>eating disturbance: a covariance structure modeling investigation. The International Journal of</w:t>
      </w:r>
      <w:r>
        <w:t xml:space="preserve"> </w:t>
      </w:r>
      <w:r>
        <w:t xml:space="preserve">Eating Disorders, 26(1), 43–51. </w:t>
      </w:r>
      <w:r w:rsidRPr="004528E1">
        <w:t>https://doi.org/10.1002/(sici)1098-108x(199907)26:1&lt;43::aid-</w:t>
      </w:r>
      <w:r>
        <w:t xml:space="preserve"> </w:t>
      </w:r>
      <w:r>
        <w:t>eat6&gt;3.0.co;2-r</w:t>
      </w:r>
    </w:p>
    <w:p w14:paraId="282BCAC9" w14:textId="583062D4" w:rsidR="002043B2" w:rsidRDefault="002043B2" w:rsidP="002043B2">
      <w:r>
        <w:t xml:space="preserve">Warren, C. S., Lindsay, A. R., White, E. K., </w:t>
      </w:r>
      <w:proofErr w:type="spellStart"/>
      <w:r>
        <w:t>Claudat</w:t>
      </w:r>
      <w:proofErr w:type="spellEnd"/>
      <w:r>
        <w:t>, K., &amp; Velasquez, S. C. (2013). Weight-</w:t>
      </w:r>
      <w:r>
        <w:t xml:space="preserve"> </w:t>
      </w:r>
      <w:r>
        <w:t>related concerns related to drug use for women in substance abuse treatment: prevalence and</w:t>
      </w:r>
      <w:r>
        <w:t xml:space="preserve"> </w:t>
      </w:r>
      <w:r>
        <w:t>relationships with eating pathology. Journal of Substance Abuse Treatment, 44(5), 494–501.</w:t>
      </w:r>
      <w:r>
        <w:t xml:space="preserve"> </w:t>
      </w:r>
      <w:r>
        <w:t>https://doi.org/10.1016/j.jsat.2012.08.222</w:t>
      </w:r>
    </w:p>
    <w:p w14:paraId="6CC72884" w14:textId="41602537" w:rsidR="002043B2" w:rsidRDefault="002043B2" w:rsidP="002043B2">
      <w:r w:rsidRPr="002043B2">
        <w:rPr>
          <w:lang w:val="fr-FR"/>
        </w:rPr>
        <w:t xml:space="preserve">Wilkinson, M. L., </w:t>
      </w:r>
      <w:proofErr w:type="spellStart"/>
      <w:r w:rsidRPr="002043B2">
        <w:rPr>
          <w:lang w:val="fr-FR"/>
        </w:rPr>
        <w:t>Trainor</w:t>
      </w:r>
      <w:proofErr w:type="spellEnd"/>
      <w:r w:rsidRPr="002043B2">
        <w:rPr>
          <w:lang w:val="fr-FR"/>
        </w:rPr>
        <w:t xml:space="preserve">, C., Lampe, E., </w:t>
      </w:r>
      <w:proofErr w:type="spellStart"/>
      <w:r w:rsidRPr="002043B2">
        <w:rPr>
          <w:lang w:val="fr-FR"/>
        </w:rPr>
        <w:t>Presseller</w:t>
      </w:r>
      <w:proofErr w:type="spellEnd"/>
      <w:r w:rsidRPr="002043B2">
        <w:rPr>
          <w:lang w:val="fr-FR"/>
        </w:rPr>
        <w:t xml:space="preserve">, E. K., &amp; </w:t>
      </w:r>
      <w:proofErr w:type="spellStart"/>
      <w:r w:rsidRPr="002043B2">
        <w:rPr>
          <w:lang w:val="fr-FR"/>
        </w:rPr>
        <w:t>Juarascio</w:t>
      </w:r>
      <w:proofErr w:type="spellEnd"/>
      <w:r w:rsidRPr="002043B2">
        <w:rPr>
          <w:lang w:val="fr-FR"/>
        </w:rPr>
        <w:t xml:space="preserve">, A. (2024). </w:t>
      </w:r>
      <w:r>
        <w:t>Cannabis use</w:t>
      </w:r>
      <w:r>
        <w:t xml:space="preserve"> </w:t>
      </w:r>
      <w:r>
        <w:t>and binge eating: Examining the relationship between cannabis use and clinical severity among</w:t>
      </w:r>
      <w:r>
        <w:t xml:space="preserve"> </w:t>
      </w:r>
      <w:r>
        <w:t>adults with binge eating. Experimental and Clinical Psychopharmacology, 32(4), 392–397.</w:t>
      </w:r>
      <w:r>
        <w:t xml:space="preserve"> </w:t>
      </w:r>
      <w:r>
        <w:t>https://doi.org/10.1037/pha0000706</w:t>
      </w:r>
    </w:p>
    <w:p w14:paraId="343EE95D" w14:textId="1C0373C1" w:rsidR="00A60479" w:rsidRPr="000B4DB0" w:rsidRDefault="002043B2" w:rsidP="00056022">
      <w:proofErr w:type="spellStart"/>
      <w:r>
        <w:t>Yudko</w:t>
      </w:r>
      <w:proofErr w:type="spellEnd"/>
      <w:r>
        <w:t xml:space="preserve">, E., </w:t>
      </w:r>
      <w:proofErr w:type="spellStart"/>
      <w:r>
        <w:t>Lozhkina</w:t>
      </w:r>
      <w:proofErr w:type="spellEnd"/>
      <w:r>
        <w:t>, O., &amp; Fouts, A. (2007). A comprehensive review of the psychometric</w:t>
      </w:r>
      <w:r>
        <w:t xml:space="preserve"> </w:t>
      </w:r>
      <w:r>
        <w:t>properties of the Drug Abuse Screening Test. Journal of Substance Abuse Treatment, 32(2),</w:t>
      </w:r>
      <w:r>
        <w:t xml:space="preserve"> </w:t>
      </w:r>
      <w:r>
        <w:t>189–198. https://doi.org/10.1016/j.jsat.2006.08.002</w:t>
      </w:r>
    </w:p>
    <w:sectPr w:rsidR="00A60479" w:rsidRPr="000B4DB0" w:rsidSect="006D19C3">
      <w:headerReference w:type="default" r:id="rId9"/>
      <w:footerReference w:type="default" r:id="rId10"/>
      <w:footerReference w:type="first" r:id="rId11"/>
      <w:type w:val="continuous"/>
      <w:pgSz w:w="12240" w:h="15840"/>
      <w:pgMar w:top="720" w:right="720" w:bottom="1728" w:left="720" w:header="129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0C93F" w14:textId="77777777" w:rsidR="00F52393" w:rsidRDefault="00F52393" w:rsidP="00140AC1">
      <w:pPr>
        <w:spacing w:after="0" w:line="240" w:lineRule="auto"/>
      </w:pPr>
      <w:r>
        <w:separator/>
      </w:r>
    </w:p>
  </w:endnote>
  <w:endnote w:type="continuationSeparator" w:id="0">
    <w:p w14:paraId="7C9C8576" w14:textId="77777777" w:rsidR="00F52393" w:rsidRDefault="00F52393" w:rsidP="0014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3A0F" w14:textId="5D970436" w:rsidR="00140AC1" w:rsidRDefault="00CD002D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09BEB05" wp14:editId="48AD07D4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36713" cy="512064"/>
          <wp:effectExtent l="0" t="0" r="0" b="0"/>
          <wp:wrapNone/>
          <wp:docPr id="1380403883" name="Picture 11" descr="Pacific Southwest Rural Opioid Technical Assistance Regional Center (ROTA-R) logo">
            <a:extLst xmlns:a="http://schemas.openxmlformats.org/drawingml/2006/main">
              <a:ext uri="{FF2B5EF4-FFF2-40B4-BE49-F238E27FC236}">
                <a16:creationId xmlns:a16="http://schemas.microsoft.com/office/drawing/2014/main" id="{9AC2B4E2-6F8A-0B8B-0188-A86AE81BA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2304" name="Picture 11" descr="Pacific Southwest Rural Opioid Technical Assistance Regional Center (ROTA-R) logo">
                    <a:extLst>
                      <a:ext uri="{FF2B5EF4-FFF2-40B4-BE49-F238E27FC236}">
                        <a16:creationId xmlns:a16="http://schemas.microsoft.com/office/drawing/2014/main" id="{9AC2B4E2-6F8A-0B8B-0188-A86AE81BA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1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50B3003" wp14:editId="4631C119">
          <wp:simplePos x="0" y="0"/>
          <wp:positionH relativeFrom="column">
            <wp:posOffset>1786285</wp:posOffset>
          </wp:positionH>
          <wp:positionV relativeFrom="paragraph">
            <wp:posOffset>-264393</wp:posOffset>
          </wp:positionV>
          <wp:extent cx="1625614" cy="422453"/>
          <wp:effectExtent l="0" t="0" r="0" b="0"/>
          <wp:wrapNone/>
          <wp:docPr id="732232014" name="Picture 12" descr="SAMHSA logo">
            <a:extLst xmlns:a="http://schemas.openxmlformats.org/drawingml/2006/main">
              <a:ext uri="{FF2B5EF4-FFF2-40B4-BE49-F238E27FC236}">
                <a16:creationId xmlns:a16="http://schemas.microsoft.com/office/drawing/2014/main" id="{E7E76A39-3B75-A150-2566-2EB5B075E1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35393" name="Picture 12" descr="SAMHSA logo">
                    <a:extLst>
                      <a:ext uri="{FF2B5EF4-FFF2-40B4-BE49-F238E27FC236}">
                        <a16:creationId xmlns:a16="http://schemas.microsoft.com/office/drawing/2014/main" id="{E7E76A39-3B75-A150-2566-2EB5B075E1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61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58973B2" wp14:editId="3BB44EAB">
          <wp:simplePos x="0" y="0"/>
          <wp:positionH relativeFrom="column">
            <wp:posOffset>3668264</wp:posOffset>
          </wp:positionH>
          <wp:positionV relativeFrom="paragraph">
            <wp:posOffset>-264393</wp:posOffset>
          </wp:positionV>
          <wp:extent cx="419104" cy="422453"/>
          <wp:effectExtent l="0" t="0" r="0" b="0"/>
          <wp:wrapNone/>
          <wp:docPr id="361737096" name="Picture 13" descr="University of Nevada, Reno Block-N">
            <a:extLst xmlns:a="http://schemas.openxmlformats.org/drawingml/2006/main">
              <a:ext uri="{FF2B5EF4-FFF2-40B4-BE49-F238E27FC236}">
                <a16:creationId xmlns:a16="http://schemas.microsoft.com/office/drawing/2014/main" id="{F7C6F80E-6FF0-D525-161A-CBF8062F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29" name="Picture 13" descr="University of Nevada, Reno Block-N">
                    <a:extLst>
                      <a:ext uri="{FF2B5EF4-FFF2-40B4-BE49-F238E27FC236}">
                        <a16:creationId xmlns:a16="http://schemas.microsoft.com/office/drawing/2014/main" id="{F7C6F80E-6FF0-D525-161A-CBF8062F4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910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0AC1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32DB6A8" wp14:editId="395D9FDC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0" t="0" r="0" b="0"/>
              <wp:wrapNone/>
              <wp:docPr id="118228122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757C1D" id="Rectangle 1" o:spid="_x0000_s1026" alt="&quot;&quot;" style="position:absolute;margin-left:0;margin-top:783pt;width:612pt;height:9.3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" fillcolor="#a4be39 [3207]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DEC3" w14:textId="1F8ABADB" w:rsidR="00A60479" w:rsidRDefault="00A60479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20D1AE1" wp14:editId="0BCCF32C">
          <wp:simplePos x="0" y="0"/>
          <wp:positionH relativeFrom="column">
            <wp:posOffset>0</wp:posOffset>
          </wp:positionH>
          <wp:positionV relativeFrom="paragraph">
            <wp:posOffset>-296545</wp:posOffset>
          </wp:positionV>
          <wp:extent cx="1536713" cy="512064"/>
          <wp:effectExtent l="0" t="0" r="0" b="0"/>
          <wp:wrapNone/>
          <wp:docPr id="466644628" name="Picture 11" descr="Pacific Southwest Rural Opioid Technical Assistance Regional Center (ROTA-R) logo">
            <a:extLst xmlns:a="http://schemas.openxmlformats.org/drawingml/2006/main">
              <a:ext uri="{FF2B5EF4-FFF2-40B4-BE49-F238E27FC236}">
                <a16:creationId xmlns:a16="http://schemas.microsoft.com/office/drawing/2014/main" id="{9AC2B4E2-6F8A-0B8B-0188-A86AE81BAF2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252304" name="Picture 11" descr="Pacific Southwest Rural Opioid Technical Assistance Regional Center (ROTA-R) logo">
                    <a:extLst>
                      <a:ext uri="{FF2B5EF4-FFF2-40B4-BE49-F238E27FC236}">
                        <a16:creationId xmlns:a16="http://schemas.microsoft.com/office/drawing/2014/main" id="{9AC2B4E2-6F8A-0B8B-0188-A86AE81BAF2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6713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509992C2" wp14:editId="2EA00A06">
          <wp:simplePos x="0" y="0"/>
          <wp:positionH relativeFrom="column">
            <wp:posOffset>1786285</wp:posOffset>
          </wp:positionH>
          <wp:positionV relativeFrom="paragraph">
            <wp:posOffset>-264393</wp:posOffset>
          </wp:positionV>
          <wp:extent cx="1625614" cy="422453"/>
          <wp:effectExtent l="0" t="0" r="0" b="0"/>
          <wp:wrapNone/>
          <wp:docPr id="2107455486" name="Picture 12" descr="SAMHSA logo">
            <a:extLst xmlns:a="http://schemas.openxmlformats.org/drawingml/2006/main">
              <a:ext uri="{FF2B5EF4-FFF2-40B4-BE49-F238E27FC236}">
                <a16:creationId xmlns:a16="http://schemas.microsoft.com/office/drawing/2014/main" id="{E7E76A39-3B75-A150-2566-2EB5B075E1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935393" name="Picture 12" descr="SAMHSA logo">
                    <a:extLst>
                      <a:ext uri="{FF2B5EF4-FFF2-40B4-BE49-F238E27FC236}">
                        <a16:creationId xmlns:a16="http://schemas.microsoft.com/office/drawing/2014/main" id="{E7E76A39-3B75-A150-2566-2EB5B075E1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2561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4CAD5116" wp14:editId="300C88B8">
          <wp:simplePos x="0" y="0"/>
          <wp:positionH relativeFrom="column">
            <wp:posOffset>3668264</wp:posOffset>
          </wp:positionH>
          <wp:positionV relativeFrom="paragraph">
            <wp:posOffset>-264393</wp:posOffset>
          </wp:positionV>
          <wp:extent cx="419104" cy="422453"/>
          <wp:effectExtent l="0" t="0" r="0" b="0"/>
          <wp:wrapNone/>
          <wp:docPr id="1024477120" name="Picture 13" descr="University of Nevada, Reno Block-N">
            <a:extLst xmlns:a="http://schemas.openxmlformats.org/drawingml/2006/main">
              <a:ext uri="{FF2B5EF4-FFF2-40B4-BE49-F238E27FC236}">
                <a16:creationId xmlns:a16="http://schemas.microsoft.com/office/drawing/2014/main" id="{F7C6F80E-6FF0-D525-161A-CBF8062F404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6029" name="Picture 13" descr="University of Nevada, Reno Block-N">
                    <a:extLst>
                      <a:ext uri="{FF2B5EF4-FFF2-40B4-BE49-F238E27FC236}">
                        <a16:creationId xmlns:a16="http://schemas.microsoft.com/office/drawing/2014/main" id="{F7C6F80E-6FF0-D525-161A-CBF8062F404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9104" cy="422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E5B882" wp14:editId="7C7676D6">
              <wp:simplePos x="0" y="0"/>
              <wp:positionH relativeFrom="page">
                <wp:posOffset>0</wp:posOffset>
              </wp:positionH>
              <wp:positionV relativeFrom="page">
                <wp:posOffset>9944100</wp:posOffset>
              </wp:positionV>
              <wp:extent cx="7772400" cy="118872"/>
              <wp:effectExtent l="0" t="0" r="19050" b="14605"/>
              <wp:wrapNone/>
              <wp:docPr id="933613350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18872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4">
                          <a:shade val="15000"/>
                        </a:schemeClr>
                      </a:lnRef>
                      <a:fillRef idx="1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71E40B" id="Rectangle 1" o:spid="_x0000_s1026" alt="&quot;&quot;" style="position:absolute;margin-left:0;margin-top:783pt;width:612pt;height:9.35pt;z-index:2516664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" fillcolor="#a4be39 [3207]" strokecolor="#181c08 [487]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28EE0" w14:textId="77777777" w:rsidR="00F52393" w:rsidRDefault="00F52393" w:rsidP="00140AC1">
      <w:pPr>
        <w:spacing w:after="0" w:line="240" w:lineRule="auto"/>
      </w:pPr>
      <w:r>
        <w:separator/>
      </w:r>
    </w:p>
  </w:footnote>
  <w:footnote w:type="continuationSeparator" w:id="0">
    <w:p w14:paraId="346E58D4" w14:textId="77777777" w:rsidR="00F52393" w:rsidRDefault="00F52393" w:rsidP="00140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B36CD" w14:textId="2EBAC50A" w:rsidR="00140AC1" w:rsidRDefault="008E1A78" w:rsidP="006D19C3">
    <w:pPr>
      <w:pStyle w:val="Header"/>
      <w:spacing w:after="480"/>
      <w:ind w:left="1440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A6FA586" wp14:editId="4473B437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0" t="0" r="0" b="0"/>
          <wp:wrapNone/>
          <wp:docPr id="159704872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04872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duotone>
                      <a:prstClr val="black"/>
                      <a:schemeClr val="accent4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88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375C"/>
    <w:multiLevelType w:val="hybridMultilevel"/>
    <w:tmpl w:val="04101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64785"/>
    <w:multiLevelType w:val="hybridMultilevel"/>
    <w:tmpl w:val="ECC8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648733">
    <w:abstractNumId w:val="1"/>
  </w:num>
  <w:num w:numId="2" w16cid:durableId="104051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C1"/>
    <w:rsid w:val="00056022"/>
    <w:rsid w:val="00063C11"/>
    <w:rsid w:val="000B4DB0"/>
    <w:rsid w:val="001341B0"/>
    <w:rsid w:val="00140AC1"/>
    <w:rsid w:val="002043B2"/>
    <w:rsid w:val="002114B2"/>
    <w:rsid w:val="002F4A3B"/>
    <w:rsid w:val="0031153D"/>
    <w:rsid w:val="003A48A3"/>
    <w:rsid w:val="0044033E"/>
    <w:rsid w:val="004528E1"/>
    <w:rsid w:val="00514EBA"/>
    <w:rsid w:val="0052188C"/>
    <w:rsid w:val="006D19C3"/>
    <w:rsid w:val="006F1274"/>
    <w:rsid w:val="00817F5A"/>
    <w:rsid w:val="008C3D41"/>
    <w:rsid w:val="008C60CB"/>
    <w:rsid w:val="008E1A78"/>
    <w:rsid w:val="008F7303"/>
    <w:rsid w:val="00904825"/>
    <w:rsid w:val="0094124A"/>
    <w:rsid w:val="009902BE"/>
    <w:rsid w:val="00992714"/>
    <w:rsid w:val="00A60479"/>
    <w:rsid w:val="00A90F02"/>
    <w:rsid w:val="00AA7EE2"/>
    <w:rsid w:val="00AE4C4C"/>
    <w:rsid w:val="00B5408F"/>
    <w:rsid w:val="00C314AE"/>
    <w:rsid w:val="00CD002D"/>
    <w:rsid w:val="00D11069"/>
    <w:rsid w:val="00D67455"/>
    <w:rsid w:val="00D97581"/>
    <w:rsid w:val="00DB2CDE"/>
    <w:rsid w:val="00DE23BB"/>
    <w:rsid w:val="00EC56C8"/>
    <w:rsid w:val="00EE5EC3"/>
    <w:rsid w:val="00F52393"/>
    <w:rsid w:val="00F85FCB"/>
    <w:rsid w:val="00FE3A0A"/>
    <w:rsid w:val="00F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0EFEA"/>
  <w15:chartTrackingRefBased/>
  <w15:docId w15:val="{B3DFDF11-528B-C94A-8FA7-1022B9F9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8A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9C3"/>
    <w:pPr>
      <w:keepNext/>
      <w:keepLines/>
      <w:spacing w:before="480" w:after="480"/>
      <w:outlineLvl w:val="0"/>
    </w:pPr>
    <w:rPr>
      <w:rFonts w:eastAsiaTheme="majorEastAsia" w:cstheme="majorBidi"/>
      <w:b/>
      <w:color w:val="494949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DB0"/>
    <w:pPr>
      <w:keepNext/>
      <w:keepLines/>
      <w:spacing w:before="360" w:after="240"/>
      <w:outlineLvl w:val="1"/>
    </w:pPr>
    <w:rPr>
      <w:rFonts w:eastAsiaTheme="majorEastAsia" w:cstheme="majorBidi"/>
      <w:b/>
      <w:color w:val="49494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DB0"/>
    <w:pPr>
      <w:keepNext/>
      <w:keepLines/>
      <w:spacing w:before="160" w:after="80"/>
      <w:outlineLvl w:val="2"/>
    </w:pPr>
    <w:rPr>
      <w:rFonts w:eastAsiaTheme="majorEastAsia" w:cstheme="majorBidi"/>
      <w:color w:val="494949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94949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AC1"/>
    <w:pPr>
      <w:keepNext/>
      <w:keepLines/>
      <w:spacing w:before="80" w:after="40"/>
      <w:outlineLvl w:val="4"/>
    </w:pPr>
    <w:rPr>
      <w:rFonts w:eastAsiaTheme="majorEastAsia" w:cstheme="majorBidi"/>
      <w:color w:val="79262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888888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AC1"/>
    <w:pPr>
      <w:keepNext/>
      <w:keepLines/>
      <w:spacing w:before="40" w:after="0"/>
      <w:outlineLvl w:val="6"/>
    </w:pPr>
    <w:rPr>
      <w:rFonts w:eastAsiaTheme="majorEastAsia" w:cstheme="majorBidi"/>
      <w:color w:val="888888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AC1"/>
    <w:pPr>
      <w:keepNext/>
      <w:keepLines/>
      <w:spacing w:after="0"/>
      <w:outlineLvl w:val="7"/>
    </w:pPr>
    <w:rPr>
      <w:rFonts w:eastAsiaTheme="majorEastAsia" w:cstheme="majorBidi"/>
      <w:i/>
      <w:iCs/>
      <w:color w:val="64646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AC1"/>
    <w:pPr>
      <w:keepNext/>
      <w:keepLines/>
      <w:spacing w:after="0"/>
      <w:outlineLvl w:val="8"/>
    </w:pPr>
    <w:rPr>
      <w:rFonts w:eastAsiaTheme="majorEastAsia" w:cstheme="majorBidi"/>
      <w:color w:val="646464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9C3"/>
    <w:rPr>
      <w:rFonts w:ascii="Arial" w:eastAsiaTheme="majorEastAsia" w:hAnsi="Arial" w:cstheme="majorBidi"/>
      <w:b/>
      <w:color w:val="494949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4DB0"/>
    <w:rPr>
      <w:rFonts w:ascii="Arial" w:eastAsiaTheme="majorEastAsia" w:hAnsi="Arial" w:cstheme="majorBidi"/>
      <w:b/>
      <w:color w:val="49494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4DB0"/>
    <w:rPr>
      <w:rFonts w:ascii="Arial" w:eastAsiaTheme="majorEastAsia" w:hAnsi="Arial" w:cstheme="majorBidi"/>
      <w:color w:val="494949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DB0"/>
    <w:rPr>
      <w:rFonts w:ascii="Arial" w:eastAsiaTheme="majorEastAsia" w:hAnsi="Arial" w:cstheme="majorBidi"/>
      <w:i/>
      <w:iCs/>
      <w:color w:val="494949" w:themeColor="tex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AC1"/>
    <w:rPr>
      <w:rFonts w:eastAsiaTheme="majorEastAsia" w:cstheme="majorBidi"/>
      <w:color w:val="79262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AC1"/>
    <w:rPr>
      <w:rFonts w:eastAsiaTheme="majorEastAsia" w:cstheme="majorBidi"/>
      <w:i/>
      <w:iCs/>
      <w:color w:val="888888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AC1"/>
    <w:rPr>
      <w:rFonts w:eastAsiaTheme="majorEastAsia" w:cstheme="majorBidi"/>
      <w:color w:val="888888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AC1"/>
    <w:rPr>
      <w:rFonts w:eastAsiaTheme="majorEastAsia" w:cstheme="majorBidi"/>
      <w:i/>
      <w:iCs/>
      <w:color w:val="646464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AC1"/>
    <w:rPr>
      <w:rFonts w:eastAsiaTheme="majorEastAsia" w:cstheme="majorBidi"/>
      <w:color w:val="64646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AC1"/>
    <w:pPr>
      <w:numPr>
        <w:ilvl w:val="1"/>
      </w:numPr>
    </w:pPr>
    <w:rPr>
      <w:rFonts w:eastAsiaTheme="majorEastAsia" w:cstheme="majorBidi"/>
      <w:color w:val="888888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AC1"/>
    <w:rPr>
      <w:rFonts w:eastAsiaTheme="majorEastAsia" w:cstheme="majorBidi"/>
      <w:color w:val="88888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AC1"/>
    <w:pPr>
      <w:spacing w:before="160"/>
      <w:jc w:val="center"/>
    </w:pPr>
    <w:rPr>
      <w:i/>
      <w:iCs/>
      <w:color w:val="76767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AC1"/>
    <w:rPr>
      <w:i/>
      <w:iCs/>
      <w:color w:val="767676" w:themeColor="text1" w:themeTint="BF"/>
    </w:rPr>
  </w:style>
  <w:style w:type="paragraph" w:styleId="ListParagraph">
    <w:name w:val="List Paragraph"/>
    <w:basedOn w:val="Normal"/>
    <w:uiPriority w:val="34"/>
    <w:qFormat/>
    <w:rsid w:val="00140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8A3"/>
    <w:rPr>
      <w:i/>
      <w:iCs/>
      <w:color w:val="49494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8A3"/>
    <w:pPr>
      <w:pBdr>
        <w:top w:val="single" w:sz="4" w:space="10" w:color="79262C" w:themeColor="accent1" w:themeShade="BF"/>
        <w:bottom w:val="single" w:sz="4" w:space="10" w:color="79262C" w:themeColor="accent1" w:themeShade="BF"/>
      </w:pBdr>
      <w:spacing w:before="360" w:after="360"/>
      <w:ind w:left="864" w:right="864"/>
      <w:jc w:val="center"/>
    </w:pPr>
    <w:rPr>
      <w:i/>
      <w:iCs/>
      <w:color w:val="494949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8A3"/>
    <w:rPr>
      <w:rFonts w:ascii="Arial" w:hAnsi="Arial"/>
      <w:i/>
      <w:iCs/>
      <w:color w:val="494949" w:themeColor="text1"/>
      <w:sz w:val="22"/>
    </w:rPr>
  </w:style>
  <w:style w:type="character" w:styleId="IntenseReference">
    <w:name w:val="Intense Reference"/>
    <w:basedOn w:val="DefaultParagraphFont"/>
    <w:uiPriority w:val="32"/>
    <w:qFormat/>
    <w:rsid w:val="003A48A3"/>
    <w:rPr>
      <w:b/>
      <w:bCs/>
      <w:smallCaps/>
      <w:color w:val="494949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0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AC1"/>
  </w:style>
  <w:style w:type="paragraph" w:styleId="Footer">
    <w:name w:val="footer"/>
    <w:basedOn w:val="Normal"/>
    <w:link w:val="FooterChar"/>
    <w:uiPriority w:val="99"/>
    <w:unhideWhenUsed/>
    <w:rsid w:val="00140A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AC1"/>
  </w:style>
  <w:style w:type="paragraph" w:styleId="NormalWeb">
    <w:name w:val="Normal (Web)"/>
    <w:basedOn w:val="Normal"/>
    <w:uiPriority w:val="99"/>
    <w:semiHidden/>
    <w:unhideWhenUsed/>
    <w:rsid w:val="003A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043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4327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220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F7B32B">
      <a:dk1>
        <a:srgbClr val="494949"/>
      </a:dk1>
      <a:lt1>
        <a:srgbClr val="FFFFFF"/>
      </a:lt1>
      <a:dk2>
        <a:srgbClr val="44546A"/>
      </a:dk2>
      <a:lt2>
        <a:srgbClr val="F3F3F3"/>
      </a:lt2>
      <a:accent1>
        <a:srgbClr val="A3333C"/>
      </a:accent1>
      <a:accent2>
        <a:srgbClr val="F7B32B"/>
      </a:accent2>
      <a:accent3>
        <a:srgbClr val="417AA0"/>
      </a:accent3>
      <a:accent4>
        <a:srgbClr val="A4BE39"/>
      </a:accent4>
      <a:accent5>
        <a:srgbClr val="F3F3F3"/>
      </a:accent5>
      <a:accent6>
        <a:srgbClr val="494949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1723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Browning</dc:creator>
  <cp:keywords/>
  <dc:description/>
  <cp:lastModifiedBy>Cameran Rynearson</cp:lastModifiedBy>
  <cp:revision>2</cp:revision>
  <dcterms:created xsi:type="dcterms:W3CDTF">2025-09-19T16:43:00Z</dcterms:created>
  <dcterms:modified xsi:type="dcterms:W3CDTF">2025-09-19T16:43:00Z</dcterms:modified>
</cp:coreProperties>
</file>